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275A9EF" w:rsidR="00E52AEF" w:rsidRPr="00E52AEF" w:rsidRDefault="00466A9C" w:rsidP="00D80380">
      <w:pPr>
        <w:jc w:val="center"/>
      </w:pPr>
      <w:r w:rsidRPr="00466A9C">
        <w:rPr>
          <w:sz w:val="32"/>
          <w:szCs w:val="32"/>
        </w:rPr>
        <w:t>Exercício de Texto expositivo</w:t>
      </w:r>
      <w:r w:rsidR="00D7632C"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610079">
        <w:rPr>
          <w:sz w:val="32"/>
          <w:szCs w:val="32"/>
        </w:rPr>
        <w:t xml:space="preserve">Português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50E3010" w14:textId="77777777" w:rsidR="00C25C31" w:rsidRDefault="00C25C31" w:rsidP="00C25C31">
      <w:pPr>
        <w:rPr>
          <w:rFonts w:ascii="Times New Roman" w:eastAsia="Times New Roman" w:hAnsi="Times New Roman" w:cs="Times New Roman"/>
          <w:lang w:eastAsia="pt-BR"/>
        </w:rPr>
      </w:pPr>
    </w:p>
    <w:p w14:paraId="5C25B0F9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1) Leia o texto expositivo e responda:</w:t>
      </w:r>
    </w:p>
    <w:p w14:paraId="2D033233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6EA99E06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Você tem medo de quê? </w:t>
      </w:r>
    </w:p>
    <w:p w14:paraId="7C2041AA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C840FC3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Quem nunca sentiu medo diante de uma barata, na fila da montanha-russa ou assistindo a um filme de terror na televisão? Ou, ainda, de escuro ou de dormir sozinho? </w:t>
      </w:r>
    </w:p>
    <w:p w14:paraId="715DB98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O medo é uma emoção produzida pelo cérebro para nos deixar alertas e mais cuidadosos diante de situações que podem nos oferecer perigo. Quando o medo é muito intenso, persistente e difícil de ser controlado, é chamado de fobia. </w:t>
      </w:r>
    </w:p>
    <w:p w14:paraId="33A35C7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Conheça alguns tipos de fobia: </w:t>
      </w:r>
    </w:p>
    <w:p w14:paraId="1D1F14C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Cambria Math" w:eastAsia="Times New Roman" w:hAnsi="Cambria Math" w:cs="Cambria Math"/>
          <w:lang w:eastAsia="pt-BR"/>
        </w:rPr>
        <w:t>⦁</w:t>
      </w:r>
      <w:r w:rsidRPr="00466A9C">
        <w:rPr>
          <w:rFonts w:ascii="Times New Roman" w:eastAsia="Times New Roman" w:hAnsi="Times New Roman" w:cs="Times New Roman"/>
          <w:lang w:eastAsia="pt-BR"/>
        </w:rPr>
        <w:t xml:space="preserve"> acrofobia – medo doentio de altura;</w:t>
      </w:r>
    </w:p>
    <w:p w14:paraId="07905932" w14:textId="590FA4EE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Cambria Math" w:eastAsia="Times New Roman" w:hAnsi="Cambria Math" w:cs="Cambria Math"/>
          <w:lang w:eastAsia="pt-BR"/>
        </w:rPr>
        <w:t>⦁</w:t>
      </w: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66A9C">
        <w:rPr>
          <w:rFonts w:ascii="Times New Roman" w:eastAsia="Times New Roman" w:hAnsi="Times New Roman" w:cs="Times New Roman"/>
          <w:lang w:eastAsia="pt-BR"/>
        </w:rPr>
        <w:t>agorafobia</w:t>
      </w:r>
      <w:proofErr w:type="spellEnd"/>
      <w:r w:rsidRPr="00466A9C">
        <w:rPr>
          <w:rFonts w:ascii="Times New Roman" w:eastAsia="Times New Roman" w:hAnsi="Times New Roman" w:cs="Times New Roman"/>
          <w:lang w:eastAsia="pt-BR"/>
        </w:rPr>
        <w:t xml:space="preserve"> – medo anormal de ficar em grandes espaços abertos e lu</w:t>
      </w:r>
      <w:r>
        <w:rPr>
          <w:rFonts w:ascii="Times New Roman" w:eastAsia="Times New Roman" w:hAnsi="Times New Roman" w:cs="Times New Roman"/>
          <w:lang w:eastAsia="pt-BR"/>
        </w:rPr>
        <w:t>gares públicos com muita gente;</w:t>
      </w:r>
    </w:p>
    <w:p w14:paraId="47BA81EB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Cambria Math" w:eastAsia="Times New Roman" w:hAnsi="Cambria Math" w:cs="Cambria Math"/>
          <w:lang w:eastAsia="pt-BR"/>
        </w:rPr>
        <w:t>⦁</w:t>
      </w: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66A9C">
        <w:rPr>
          <w:rFonts w:ascii="Times New Roman" w:eastAsia="Times New Roman" w:hAnsi="Times New Roman" w:cs="Times New Roman"/>
          <w:lang w:eastAsia="pt-BR"/>
        </w:rPr>
        <w:t>aracnofobia</w:t>
      </w:r>
      <w:proofErr w:type="spellEnd"/>
      <w:r w:rsidRPr="00466A9C">
        <w:rPr>
          <w:rFonts w:ascii="Times New Roman" w:eastAsia="Times New Roman" w:hAnsi="Times New Roman" w:cs="Times New Roman"/>
          <w:lang w:eastAsia="pt-BR"/>
        </w:rPr>
        <w:t xml:space="preserve"> – medo de aranhas; </w:t>
      </w:r>
    </w:p>
    <w:p w14:paraId="5916FB65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Cambria Math" w:eastAsia="Times New Roman" w:hAnsi="Cambria Math" w:cs="Cambria Math"/>
          <w:lang w:eastAsia="pt-BR"/>
        </w:rPr>
        <w:t>⦁</w:t>
      </w:r>
      <w:r w:rsidRPr="00466A9C">
        <w:rPr>
          <w:rFonts w:ascii="Times New Roman" w:eastAsia="Times New Roman" w:hAnsi="Times New Roman" w:cs="Times New Roman"/>
          <w:lang w:eastAsia="pt-BR"/>
        </w:rPr>
        <w:t xml:space="preserve"> astrofobia – sentimento de pavor aos trovões e relâmpagos; </w:t>
      </w:r>
    </w:p>
    <w:p w14:paraId="61B7488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Cambria Math" w:eastAsia="Times New Roman" w:hAnsi="Cambria Math" w:cs="Cambria Math"/>
          <w:lang w:eastAsia="pt-BR"/>
        </w:rPr>
        <w:t>⦁</w:t>
      </w: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66A9C">
        <w:rPr>
          <w:rFonts w:ascii="Times New Roman" w:eastAsia="Times New Roman" w:hAnsi="Times New Roman" w:cs="Times New Roman"/>
          <w:lang w:eastAsia="pt-BR"/>
        </w:rPr>
        <w:t>cinofobia</w:t>
      </w:r>
      <w:proofErr w:type="spellEnd"/>
      <w:r w:rsidRPr="00466A9C">
        <w:rPr>
          <w:rFonts w:ascii="Times New Roman" w:eastAsia="Times New Roman" w:hAnsi="Times New Roman" w:cs="Times New Roman"/>
          <w:lang w:eastAsia="pt-BR"/>
        </w:rPr>
        <w:t xml:space="preserve"> – medo anormal de cães; </w:t>
      </w:r>
    </w:p>
    <w:p w14:paraId="4F66400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Cambria Math" w:eastAsia="Times New Roman" w:hAnsi="Cambria Math" w:cs="Cambria Math"/>
          <w:lang w:eastAsia="pt-BR"/>
        </w:rPr>
        <w:t>⦁</w:t>
      </w: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66A9C">
        <w:rPr>
          <w:rFonts w:ascii="Times New Roman" w:eastAsia="Times New Roman" w:hAnsi="Times New Roman" w:cs="Times New Roman"/>
          <w:lang w:eastAsia="pt-BR"/>
        </w:rPr>
        <w:t>dextrofobia</w:t>
      </w:r>
      <w:proofErr w:type="spellEnd"/>
      <w:r w:rsidRPr="00466A9C">
        <w:rPr>
          <w:rFonts w:ascii="Times New Roman" w:eastAsia="Times New Roman" w:hAnsi="Times New Roman" w:cs="Times New Roman"/>
          <w:lang w:eastAsia="pt-BR"/>
        </w:rPr>
        <w:t xml:space="preserve"> – medo dos objetos colocados à direita das pessoas; </w:t>
      </w:r>
    </w:p>
    <w:p w14:paraId="20B33658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Cambria Math" w:eastAsia="Times New Roman" w:hAnsi="Cambria Math" w:cs="Cambria Math"/>
          <w:lang w:eastAsia="pt-BR"/>
        </w:rPr>
        <w:t>⦁</w:t>
      </w: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66A9C">
        <w:rPr>
          <w:rFonts w:ascii="Times New Roman" w:eastAsia="Times New Roman" w:hAnsi="Times New Roman" w:cs="Times New Roman"/>
          <w:lang w:eastAsia="pt-BR"/>
        </w:rPr>
        <w:t>elurofobia</w:t>
      </w:r>
      <w:proofErr w:type="spellEnd"/>
      <w:r w:rsidRPr="00466A9C">
        <w:rPr>
          <w:rFonts w:ascii="Times New Roman" w:eastAsia="Times New Roman" w:hAnsi="Times New Roman" w:cs="Times New Roman"/>
          <w:lang w:eastAsia="pt-BR"/>
        </w:rPr>
        <w:t xml:space="preserve"> – medo ou aversão a gatos; </w:t>
      </w:r>
    </w:p>
    <w:p w14:paraId="163893BB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Cambria Math" w:eastAsia="Times New Roman" w:hAnsi="Cambria Math" w:cs="Cambria Math"/>
          <w:lang w:eastAsia="pt-BR"/>
        </w:rPr>
        <w:t>⦁</w:t>
      </w:r>
      <w:r w:rsidRPr="00466A9C">
        <w:rPr>
          <w:rFonts w:ascii="Times New Roman" w:eastAsia="Times New Roman" w:hAnsi="Times New Roman" w:cs="Times New Roman"/>
          <w:lang w:eastAsia="pt-BR"/>
        </w:rPr>
        <w:t xml:space="preserve"> fobia social – medo de enfrentar situações sociais e relacionamentos; </w:t>
      </w:r>
    </w:p>
    <w:p w14:paraId="13882489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Cambria Math" w:eastAsia="Times New Roman" w:hAnsi="Cambria Math" w:cs="Cambria Math"/>
          <w:lang w:eastAsia="pt-BR"/>
        </w:rPr>
        <w:t>⦁</w:t>
      </w: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66A9C">
        <w:rPr>
          <w:rFonts w:ascii="Times New Roman" w:eastAsia="Times New Roman" w:hAnsi="Times New Roman" w:cs="Times New Roman"/>
          <w:lang w:eastAsia="pt-BR"/>
        </w:rPr>
        <w:t>fobofobia</w:t>
      </w:r>
      <w:proofErr w:type="spellEnd"/>
      <w:r w:rsidRPr="00466A9C">
        <w:rPr>
          <w:rFonts w:ascii="Times New Roman" w:eastAsia="Times New Roman" w:hAnsi="Times New Roman" w:cs="Times New Roman"/>
          <w:lang w:eastAsia="pt-BR"/>
        </w:rPr>
        <w:t xml:space="preserve"> – medo dos próprios medos; </w:t>
      </w:r>
    </w:p>
    <w:p w14:paraId="68EE46B4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Cambria Math" w:eastAsia="Times New Roman" w:hAnsi="Cambria Math" w:cs="Cambria Math"/>
          <w:lang w:eastAsia="pt-BR"/>
        </w:rPr>
        <w:t>⦁</w:t>
      </w:r>
      <w:r w:rsidRPr="00466A9C">
        <w:rPr>
          <w:rFonts w:ascii="Times New Roman" w:eastAsia="Times New Roman" w:hAnsi="Times New Roman" w:cs="Times New Roman"/>
          <w:lang w:eastAsia="pt-BR"/>
        </w:rPr>
        <w:t xml:space="preserve"> hipnofobia – medo de dormir ou pavor durante o sono; </w:t>
      </w:r>
    </w:p>
    <w:p w14:paraId="181B444E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Cambria Math" w:eastAsia="Times New Roman" w:hAnsi="Cambria Math" w:cs="Cambria Math"/>
          <w:lang w:eastAsia="pt-BR"/>
        </w:rPr>
        <w:t>⦁</w:t>
      </w: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66A9C">
        <w:rPr>
          <w:rFonts w:ascii="Times New Roman" w:eastAsia="Times New Roman" w:hAnsi="Times New Roman" w:cs="Times New Roman"/>
          <w:lang w:eastAsia="pt-BR"/>
        </w:rPr>
        <w:t>musicofobia</w:t>
      </w:r>
      <w:proofErr w:type="spellEnd"/>
      <w:r w:rsidRPr="00466A9C">
        <w:rPr>
          <w:rFonts w:ascii="Times New Roman" w:eastAsia="Times New Roman" w:hAnsi="Times New Roman" w:cs="Times New Roman"/>
          <w:lang w:eastAsia="pt-BR"/>
        </w:rPr>
        <w:t xml:space="preserve"> – aversão a música; </w:t>
      </w:r>
    </w:p>
    <w:p w14:paraId="691820CD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Cambria Math" w:eastAsia="Times New Roman" w:hAnsi="Cambria Math" w:cs="Cambria Math"/>
          <w:lang w:eastAsia="pt-BR"/>
        </w:rPr>
        <w:t>⦁</w:t>
      </w: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66A9C">
        <w:rPr>
          <w:rFonts w:ascii="Times New Roman" w:eastAsia="Times New Roman" w:hAnsi="Times New Roman" w:cs="Times New Roman"/>
          <w:lang w:eastAsia="pt-BR"/>
        </w:rPr>
        <w:t>ofidiofobia</w:t>
      </w:r>
      <w:proofErr w:type="spellEnd"/>
      <w:r w:rsidRPr="00466A9C">
        <w:rPr>
          <w:rFonts w:ascii="Times New Roman" w:eastAsia="Times New Roman" w:hAnsi="Times New Roman" w:cs="Times New Roman"/>
          <w:lang w:eastAsia="pt-BR"/>
        </w:rPr>
        <w:t xml:space="preserve"> – medo de cobras; </w:t>
      </w:r>
    </w:p>
    <w:p w14:paraId="5DAF48B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Cambria Math" w:eastAsia="Times New Roman" w:hAnsi="Cambria Math" w:cs="Cambria Math"/>
          <w:lang w:eastAsia="pt-BR"/>
        </w:rPr>
        <w:t>⦁</w:t>
      </w: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66A9C">
        <w:rPr>
          <w:rFonts w:ascii="Times New Roman" w:eastAsia="Times New Roman" w:hAnsi="Times New Roman" w:cs="Times New Roman"/>
          <w:lang w:eastAsia="pt-BR"/>
        </w:rPr>
        <w:t>sitiofobia</w:t>
      </w:r>
      <w:proofErr w:type="spellEnd"/>
      <w:r w:rsidRPr="00466A9C">
        <w:rPr>
          <w:rFonts w:ascii="Times New Roman" w:eastAsia="Times New Roman" w:hAnsi="Times New Roman" w:cs="Times New Roman"/>
          <w:lang w:eastAsia="pt-BR"/>
        </w:rPr>
        <w:t xml:space="preserve"> – recusa absoluta de alimento. </w:t>
      </w:r>
    </w:p>
    <w:p w14:paraId="28857211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Ter medo ou desconforto diante de certos animais ou em determinadas ocasiões é natural. O problema é quando esse medo impede as pessoas de levar uma vida normal. Quando isso acontece, é hora de procurar um médico. </w:t>
      </w:r>
    </w:p>
    <w:p w14:paraId="2275CAFF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BF963CB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Fonte: Revista Superinteressante, ed. 157.</w:t>
      </w:r>
    </w:p>
    <w:p w14:paraId="49761D5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3506E18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No primeiro parágrafo está a apresentação da ideia principal informada no título. Ele se inicia com algumas perguntas. Qual é o objetivo do autor ao usar esse recurso? </w:t>
      </w:r>
    </w:p>
    <w:p w14:paraId="4F9C603D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a) Desviar a atenção do leitor para outro assunto.</w:t>
      </w:r>
    </w:p>
    <w:p w14:paraId="3D24F5FA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b) Despertar curiosidade no leitor.</w:t>
      </w:r>
    </w:p>
    <w:p w14:paraId="4DFD4E49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c) Provocar surpresa no leitor.</w:t>
      </w:r>
    </w:p>
    <w:p w14:paraId="09B137E4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d) Causar medo no leitor.</w:t>
      </w:r>
    </w:p>
    <w:p w14:paraId="2205A52E" w14:textId="77777777" w:rsid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6EB9D27C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2) O texto expositivo apresenta:</w:t>
      </w:r>
    </w:p>
    <w:p w14:paraId="69CCC2C6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6F591D23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a) um enredo, no qual se desenvolvem as ações dos personagens, marcadas por tempo e espaço</w:t>
      </w:r>
    </w:p>
    <w:p w14:paraId="48BFC78B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b) informações sobre um objeto ou fato específico, sua descrição e a enumeração de suas características.</w:t>
      </w:r>
    </w:p>
    <w:p w14:paraId="0056F4D8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c) descrição de um objeto, lugar, pessoa ou fato</w:t>
      </w:r>
    </w:p>
    <w:p w14:paraId="22FBB1AD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d) defesa de uma ideia, por meio da argumentação e do desenvolvimento de um tema</w:t>
      </w:r>
    </w:p>
    <w:p w14:paraId="61A56AF8" w14:textId="77777777" w:rsid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2CDBFDF6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3) Leia o texto expositivo:</w:t>
      </w:r>
    </w:p>
    <w:p w14:paraId="0EAA8C81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3FDCE4F0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A chamada Lei do Agrotóxico (nº 7.802, de 11/06/89) determina que os rótulos dos produtos não contenham afirmações ou imagens que possam induzir o usuário a erro quanto a sua natureza, composição, segurança, eficácia e uso. Também proíbe declarações sobre a inocuidade, tais como “seguro”, “não venenoso”, “não tóxico”, mesmo que complementadas por afirmações do tipo “quando utilizado segundo as instruções”.</w:t>
      </w:r>
    </w:p>
    <w:p w14:paraId="1847AE3F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10F45F50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Em face das proibições da Lei, a compreensão da frase: “Cuidado, este produto pode ser tóxico”</w:t>
      </w:r>
    </w:p>
    <w:p w14:paraId="09F92AED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36F075AE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a) precisa levar em consideração que a condição suficiente para que um produto possa ser tóxico é sua ingestão, inalação ou contato com a pele e não sua composição.</w:t>
      </w:r>
    </w:p>
    <w:p w14:paraId="41DF54CD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b) exige cautela, pois a expressão “pode ser” pressupõe “pode não ser”, permitindo a interpretação de que se trata de um produto “seguro”, “não venenoso”, “não tóxico”.</w:t>
      </w:r>
    </w:p>
    <w:p w14:paraId="2FC505FB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c) precisa ser complementada com a consideração de que a segurança no manuseio dos agrotóxicos elimina sua toxicidade, bem como eventuais riscos de intoxicação.</w:t>
      </w:r>
    </w:p>
    <w:p w14:paraId="348328EE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d) exige admitir que a condição necessária para que um produto seja tóxico é a sua composição, induzindo o usuário a erro quanto à inocuidade e ao mau uso dos produtos.</w:t>
      </w:r>
    </w:p>
    <w:p w14:paraId="467A6C9C" w14:textId="77777777" w:rsid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26C5F586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4) Leia o texto:</w:t>
      </w:r>
    </w:p>
    <w:p w14:paraId="1368DEF6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393E4F92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IBGE: 24,8 milhões das pessoas de 14 a 29 anos não frequentam escolas no país</w:t>
      </w:r>
    </w:p>
    <w:p w14:paraId="267F637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0179464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A Pesquisa Nacional por Amostra de Domicílios Contínua (Pnad Contínua.) 2016 divulgada hoje (21) pelo Instituto Brasileiro de Geografia e Estatística (IBGE.) estima que 24,8 milhões das pessoas de 14 a 29 anos de idade não frequentavam escola, cursos pré-vestibular, técnico de nível médio ou de qualificação profissional no ano passado.</w:t>
      </w:r>
    </w:p>
    <w:p w14:paraId="23A470BC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6859CCF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As razões mais frequentes para não estarem estudando foram por motivo de trabalho, seja porque trabalhava, estava procurando trabalho ou conseguiu trabalho que iria começar em breve (41%); não tinha interesse em continuar os estudos (19,7%); e por ter que cuidar dos afazeres domésticos ou de criança, adolescente, idosos ou pessoa com necessidades especiais (12,8%).</w:t>
      </w:r>
    </w:p>
    <w:p w14:paraId="7EDDA7BB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878BEED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Os motivos relacionados ao mercado de trabalho para não ir à escola foram mais frequentes entre os homens (50,5%). Além disso, entre eles, 24,1% disseram não ter interesse, e 8,2% já tinham concluído o nível de estudo que desejavam.</w:t>
      </w:r>
    </w:p>
    <w:p w14:paraId="6B4145AA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21A741B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Para as mulheres, o motivo relacionado a trabalho para não estudar também foi o mais frequente (30,5%); 26,1% delas alegaram ter que cuidar dos afazeres domésticos ou de criança, adolescente, idosos ou pessoa com necessidades especiais, proporção 30 vezes superior à observada entre os homens; e 14,9% não tinham interesse.</w:t>
      </w:r>
    </w:p>
    <w:p w14:paraId="0BE518A3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EEEDD1C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No Brasil, em 2016, havia 51,6 milhões de pessoas de 14 a 29 anos de idade. Desse total, 13,3% estavam ocupadas e estudavam; 20,5% não trabalhavam e não estudavam; 32,7% não trabalhavam, mas estudavam e 33,4% estavam ocupadas e não estudavam. […]</w:t>
      </w:r>
    </w:p>
    <w:p w14:paraId="5CA5685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0A0C478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Com relação à forma como o texto se estrutura, conclui-se que ele é, predominantemente,</w:t>
      </w:r>
    </w:p>
    <w:p w14:paraId="429E1AE4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a) narrativo</w:t>
      </w:r>
    </w:p>
    <w:p w14:paraId="467A7ADD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b) injuntivo</w:t>
      </w:r>
    </w:p>
    <w:p w14:paraId="63C8488C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c) dialogal</w:t>
      </w:r>
    </w:p>
    <w:p w14:paraId="15942204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d) expositivo</w:t>
      </w:r>
    </w:p>
    <w:p w14:paraId="57572D87" w14:textId="77777777" w:rsid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6EE9B04B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5) Leia o texto a seguir:</w:t>
      </w:r>
    </w:p>
    <w:p w14:paraId="161D19F8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757A0825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PENSAMOS NÃO COMO PÁGINA ABERTA, MAS COMO HIPERTEXTO EM METAMORFOSE</w:t>
      </w:r>
    </w:p>
    <w:p w14:paraId="6597777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7ECEEC2A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A linha de evolução da humanidade ofereceu em tempos diversos a prioridade a</w:t>
      </w:r>
    </w:p>
    <w:p w14:paraId="6347029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órgãos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diferentes como fundamentais a comunicação. Quando ainda não se havia</w:t>
      </w:r>
    </w:p>
    <w:p w14:paraId="363B3419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inventado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a escrita, toda comunicação se fazia pela boca e </w:t>
      </w:r>
      <w:proofErr w:type="spellStart"/>
      <w:r w:rsidRPr="00466A9C">
        <w:rPr>
          <w:rFonts w:ascii="Times New Roman" w:eastAsia="Times New Roman" w:hAnsi="Times New Roman" w:cs="Times New Roman"/>
          <w:lang w:eastAsia="pt-BR"/>
        </w:rPr>
        <w:t>esta</w:t>
      </w:r>
      <w:proofErr w:type="spellEnd"/>
      <w:r w:rsidRPr="00466A9C">
        <w:rPr>
          <w:rFonts w:ascii="Times New Roman" w:eastAsia="Times New Roman" w:hAnsi="Times New Roman" w:cs="Times New Roman"/>
          <w:lang w:eastAsia="pt-BR"/>
        </w:rPr>
        <w:t xml:space="preserve"> simbolizava a essência da</w:t>
      </w:r>
    </w:p>
    <w:p w14:paraId="184A6360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comunicação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>. Malditos eram os que rogavam pragas, e não se podia pensar em castigo maior</w:t>
      </w:r>
    </w:p>
    <w:p w14:paraId="78D30781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que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a imposição do silêncio.</w:t>
      </w:r>
    </w:p>
    <w:p w14:paraId="52D3D174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Mais tarde, a mão substituiu a boca e a escrita passou a ser garantidora de permanência</w:t>
      </w:r>
    </w:p>
    <w:p w14:paraId="23173711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e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imortalidade. Desenvolveu-se acurado sistema de estudo caligráfico e passou-se a considerar</w:t>
      </w:r>
    </w:p>
    <w:p w14:paraId="4CA85E8B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que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nada expressa melhor a identidade da pessoa que sua caligrafia e sua assinatura.</w:t>
      </w:r>
    </w:p>
    <w:p w14:paraId="723FCC64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Na era da informática, a importância da comunicação rapidamente vai substituindo as</w:t>
      </w:r>
    </w:p>
    <w:p w14:paraId="149106A0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mãos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pelos olhos, e a visão passa a constituir órgão soberano. Num mundo globalizado e, em</w:t>
      </w:r>
    </w:p>
    <w:p w14:paraId="1AB7E9FD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muitos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aspectos, virtual, a boca pouco vale, e as mãos passam a ser apenas instrumento da</w:t>
      </w:r>
    </w:p>
    <w:p w14:paraId="1C985BCA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visão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>. É de acreditar que a evolução pare por aí, não porque ainda faltam órgãos para isso, mas</w:t>
      </w:r>
    </w:p>
    <w:p w14:paraId="1C0615CC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porque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o hipertexto simboliza a própria forma de pensar.</w:t>
      </w:r>
    </w:p>
    <w:p w14:paraId="307EFC8A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Que é o hipertexto? É a nova forma de escrita e de comunicação no mundo da</w:t>
      </w:r>
    </w:p>
    <w:p w14:paraId="12AB1446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informática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>, um dispositivo no qual a informação se apresenta através de uma rede de nós</w:t>
      </w:r>
    </w:p>
    <w:p w14:paraId="4835889D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interconectados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por links que permitem acesso não linear por parte do leitor. É uma página</w:t>
      </w:r>
    </w:p>
    <w:p w14:paraId="48C6B7F1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absolutamente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diferente de uma página textual, nela pode ocorrer metamorfose permanente –</w:t>
      </w:r>
    </w:p>
    <w:p w14:paraId="0A8B684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pois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pode mudar a cada instante –, grande heterogeneidade – os nós do hipertexto podem</w:t>
      </w:r>
    </w:p>
    <w:p w14:paraId="212C2976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incluir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conteúdos diversos – e imensa multiplicidade, pois qualquer nó da rede, mesmo isolada</w:t>
      </w:r>
    </w:p>
    <w:p w14:paraId="363F5A2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das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demais, contém uma nova rede e, principalmente, grande mobilidade dos centros. Assim,</w:t>
      </w:r>
    </w:p>
    <w:p w14:paraId="37724C2E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ao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invés de uma “ideia principal”, presente em uma página comum, existem ideias</w:t>
      </w:r>
    </w:p>
    <w:p w14:paraId="36E15B86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multiconectadas</w:t>
      </w:r>
      <w:proofErr w:type="spellEnd"/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que passam a ser acionadas ao sabor das necessidades e dos interesses.</w:t>
      </w:r>
    </w:p>
    <w:p w14:paraId="7E810336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Em síntese, o hipertexto se identifica com a nossa maneira de pensar, que, na verdade,</w:t>
      </w:r>
    </w:p>
    <w:p w14:paraId="36651F29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66A9C">
        <w:rPr>
          <w:rFonts w:ascii="Times New Roman" w:eastAsia="Times New Roman" w:hAnsi="Times New Roman" w:cs="Times New Roman"/>
          <w:lang w:eastAsia="pt-BR"/>
        </w:rPr>
        <w:t>funciona</w:t>
      </w:r>
      <w:proofErr w:type="gramEnd"/>
      <w:r w:rsidRPr="00466A9C">
        <w:rPr>
          <w:rFonts w:ascii="Times New Roman" w:eastAsia="Times New Roman" w:hAnsi="Times New Roman" w:cs="Times New Roman"/>
          <w:lang w:eastAsia="pt-BR"/>
        </w:rPr>
        <w:t xml:space="preserve"> pela conexão entre diferentes modos de conhecer e de expressar.</w:t>
      </w:r>
    </w:p>
    <w:p w14:paraId="60693B23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400EA65A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(Celso Antunes. A prática de novos saberes. Fortaleza: Edições Livro Técnico, 2003, p. 43-45. Adaptado)</w:t>
      </w:r>
    </w:p>
    <w:p w14:paraId="0D108F1C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4F4ED26E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O correto entendimento do texto requer que o interpretemos como</w:t>
      </w:r>
    </w:p>
    <w:p w14:paraId="1DEB94B7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</w:p>
    <w:p w14:paraId="71B4E048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a) descritivo: em torno da evolução bem-sucedida da escrita ao longo do tempo</w:t>
      </w:r>
    </w:p>
    <w:p w14:paraId="430D2603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b) narrativo: com cenários, tempos e personagens principais e secundárias.</w:t>
      </w:r>
    </w:p>
    <w:p w14:paraId="6A7824AB" w14:textId="77777777" w:rsidR="00466A9C" w:rsidRPr="00466A9C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 xml:space="preserve">c) expositivo: um tema é apresentado em seus tópicos e </w:t>
      </w:r>
      <w:proofErr w:type="spellStart"/>
      <w:r w:rsidRPr="00466A9C">
        <w:rPr>
          <w:rFonts w:ascii="Times New Roman" w:eastAsia="Times New Roman" w:hAnsi="Times New Roman" w:cs="Times New Roman"/>
          <w:lang w:eastAsia="pt-BR"/>
        </w:rPr>
        <w:t>subtópicos</w:t>
      </w:r>
      <w:proofErr w:type="spellEnd"/>
      <w:r w:rsidRPr="00466A9C">
        <w:rPr>
          <w:rFonts w:ascii="Times New Roman" w:eastAsia="Times New Roman" w:hAnsi="Times New Roman" w:cs="Times New Roman"/>
          <w:lang w:eastAsia="pt-BR"/>
        </w:rPr>
        <w:t>.</w:t>
      </w:r>
    </w:p>
    <w:p w14:paraId="54194D10" w14:textId="1E239D53" w:rsidR="00D1143B" w:rsidRDefault="00466A9C" w:rsidP="00466A9C">
      <w:pPr>
        <w:rPr>
          <w:rFonts w:ascii="Times New Roman" w:eastAsia="Times New Roman" w:hAnsi="Times New Roman" w:cs="Times New Roman"/>
          <w:lang w:eastAsia="pt-BR"/>
        </w:rPr>
      </w:pPr>
      <w:r w:rsidRPr="00466A9C">
        <w:rPr>
          <w:rFonts w:ascii="Times New Roman" w:eastAsia="Times New Roman" w:hAnsi="Times New Roman" w:cs="Times New Roman"/>
          <w:lang w:eastAsia="pt-BR"/>
        </w:rPr>
        <w:t>d) dissertativo: certo raciocínio é construído em torno de várias hipóteses.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0918A0B2" w:rsidR="004110A9" w:rsidRPr="007209AE" w:rsidRDefault="00466A9C" w:rsidP="007209AE">
            <w:pPr>
              <w:jc w:val="center"/>
            </w:pPr>
            <w:r>
              <w:t>B</w:t>
            </w:r>
          </w:p>
        </w:tc>
        <w:tc>
          <w:tcPr>
            <w:tcW w:w="1464" w:type="dxa"/>
          </w:tcPr>
          <w:p w14:paraId="6C379D11" w14:textId="10D97341" w:rsidR="004110A9" w:rsidRPr="007209AE" w:rsidRDefault="00466A9C" w:rsidP="007209AE">
            <w:pPr>
              <w:jc w:val="center"/>
            </w:pPr>
            <w:r>
              <w:t>B</w:t>
            </w:r>
          </w:p>
        </w:tc>
        <w:tc>
          <w:tcPr>
            <w:tcW w:w="1463" w:type="dxa"/>
          </w:tcPr>
          <w:p w14:paraId="2C919288" w14:textId="01274D00" w:rsidR="004110A9" w:rsidRPr="00CE1840" w:rsidRDefault="00466A9C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67AF40E6" w14:textId="5BC197F2" w:rsidR="00EA5D04" w:rsidRPr="00CE1840" w:rsidRDefault="00466A9C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3" w:type="dxa"/>
          </w:tcPr>
          <w:p w14:paraId="49599B0F" w14:textId="2CEEF96E" w:rsidR="004110A9" w:rsidRPr="00CE1840" w:rsidRDefault="00466A9C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C3DD" w14:textId="77777777" w:rsidR="00F82277" w:rsidRDefault="00F82277" w:rsidP="00EB593E">
      <w:r>
        <w:separator/>
      </w:r>
    </w:p>
  </w:endnote>
  <w:endnote w:type="continuationSeparator" w:id="0">
    <w:p w14:paraId="5296C2D9" w14:textId="77777777" w:rsidR="00F82277" w:rsidRDefault="00F8227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466A9C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697F8" w14:textId="77777777" w:rsidR="00F82277" w:rsidRDefault="00F82277" w:rsidP="00EB593E">
      <w:r>
        <w:separator/>
      </w:r>
    </w:p>
  </w:footnote>
  <w:footnote w:type="continuationSeparator" w:id="0">
    <w:p w14:paraId="39985834" w14:textId="77777777" w:rsidR="00F82277" w:rsidRDefault="00F8227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C443C"/>
    <w:multiLevelType w:val="hybridMultilevel"/>
    <w:tmpl w:val="9EE2A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95AEF"/>
    <w:rsid w:val="000A0445"/>
    <w:rsid w:val="000A29B5"/>
    <w:rsid w:val="000A2F6D"/>
    <w:rsid w:val="000C19B6"/>
    <w:rsid w:val="000C4036"/>
    <w:rsid w:val="000E1505"/>
    <w:rsid w:val="000E65DC"/>
    <w:rsid w:val="000E6E57"/>
    <w:rsid w:val="000E7A4B"/>
    <w:rsid w:val="00130E48"/>
    <w:rsid w:val="00135B5A"/>
    <w:rsid w:val="00144D20"/>
    <w:rsid w:val="00151911"/>
    <w:rsid w:val="001601AB"/>
    <w:rsid w:val="001B2A01"/>
    <w:rsid w:val="001C5E98"/>
    <w:rsid w:val="00207B5D"/>
    <w:rsid w:val="00213989"/>
    <w:rsid w:val="0024545A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66A9C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0079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C73B6"/>
    <w:rsid w:val="00921748"/>
    <w:rsid w:val="00960686"/>
    <w:rsid w:val="00963840"/>
    <w:rsid w:val="0096609B"/>
    <w:rsid w:val="009A13F3"/>
    <w:rsid w:val="009A71B9"/>
    <w:rsid w:val="009D4D5B"/>
    <w:rsid w:val="009E1093"/>
    <w:rsid w:val="009E5E35"/>
    <w:rsid w:val="009F396C"/>
    <w:rsid w:val="00A20258"/>
    <w:rsid w:val="00A22862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46FD0"/>
    <w:rsid w:val="00D55DB1"/>
    <w:rsid w:val="00D7632C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82277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0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4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1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7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1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4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2020-04-03T03:47:00Z</cp:lastPrinted>
  <dcterms:created xsi:type="dcterms:W3CDTF">2020-04-03T03:48:00Z</dcterms:created>
  <dcterms:modified xsi:type="dcterms:W3CDTF">2020-04-03T03:48:00Z</dcterms:modified>
</cp:coreProperties>
</file>