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6D84F2D1" w:rsidR="00E52AEF" w:rsidRDefault="00AB17CA" w:rsidP="00D80380">
      <w:pPr>
        <w:jc w:val="center"/>
        <w:rPr>
          <w:sz w:val="32"/>
          <w:szCs w:val="32"/>
        </w:rPr>
      </w:pPr>
      <w:r w:rsidRPr="00AB17CA">
        <w:rPr>
          <w:sz w:val="32"/>
          <w:szCs w:val="32"/>
        </w:rPr>
        <w:t xml:space="preserve">Exercício de Teorema de </w:t>
      </w:r>
      <w:proofErr w:type="spellStart"/>
      <w:r w:rsidRPr="00AB17CA">
        <w:rPr>
          <w:sz w:val="32"/>
          <w:szCs w:val="32"/>
        </w:rPr>
        <w:t>Stevin</w:t>
      </w:r>
      <w:proofErr w:type="spellEnd"/>
      <w:r>
        <w:rPr>
          <w:sz w:val="32"/>
          <w:szCs w:val="32"/>
        </w:rPr>
        <w:t xml:space="preserve"> </w:t>
      </w:r>
      <w:r w:rsidR="00BE2827">
        <w:rPr>
          <w:sz w:val="32"/>
          <w:szCs w:val="32"/>
        </w:rPr>
        <w:t xml:space="preserve">- </w:t>
      </w:r>
      <w:r w:rsidR="00363A2D">
        <w:rPr>
          <w:sz w:val="32"/>
          <w:szCs w:val="32"/>
        </w:rPr>
        <w:t>Física</w:t>
      </w:r>
      <w:r w:rsidR="00310140">
        <w:rPr>
          <w:sz w:val="32"/>
          <w:szCs w:val="32"/>
        </w:rPr>
        <w:t xml:space="preserve"> </w:t>
      </w:r>
      <w:r w:rsidR="00650AC9">
        <w:rPr>
          <w:sz w:val="32"/>
          <w:szCs w:val="32"/>
        </w:rPr>
        <w:t>2</w:t>
      </w:r>
      <w:r w:rsidR="00310140" w:rsidRPr="00310140">
        <w:rPr>
          <w:sz w:val="32"/>
          <w:szCs w:val="32"/>
        </w:rPr>
        <w:t>ª série do EM</w:t>
      </w:r>
    </w:p>
    <w:p w14:paraId="0C6D2016" w14:textId="77777777" w:rsidR="00AA3266" w:rsidRDefault="00AA3266" w:rsidP="00AA3266"/>
    <w:p w14:paraId="4EC5E9EB" w14:textId="77777777" w:rsidR="00AB17CA" w:rsidRPr="00AB17CA" w:rsidRDefault="00AB17CA" w:rsidP="00AB17CA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t>1) (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Uncisal</w:t>
      </w:r>
      <w:proofErr w:type="spellEnd"/>
      <w:r w:rsidRPr="00AB17CA">
        <w:rPr>
          <w:rFonts w:ascii="Lato" w:eastAsia="Times New Roman" w:hAnsi="Lato" w:cs="Times New Roman"/>
          <w:color w:val="000000"/>
          <w:lang w:eastAsia="pt-BR"/>
        </w:rPr>
        <w:t>) Em um laboratório, as substâncias são identificadas no rótulo pelo nome e por algumas propriedades químicas. No intuito de descobrir qual a substância armazenada num frasco no qual o rótulo foi retirado, um estudante aplicado de física propôs um experimento. Foram colocados num sistema constituído por vasos comunicantes o líquido desconhecido e álcool. Como são líquidos imiscíveis, é possível estimar a densidade do líquido medindo a altura das colunas líquidas a partir da superfície de separação desses líquidos. Esses valores são mostrados na figura a seguir. Consultando a tabela com os valores das densidades de alguns líquidos, disponível nesse laboratório, é provável que o líquido desconhecido seja:</w:t>
      </w:r>
    </w:p>
    <w:p w14:paraId="19ABBBD5" w14:textId="5C1625A8" w:rsidR="00AB17CA" w:rsidRPr="00AB17CA" w:rsidRDefault="00AB17CA" w:rsidP="00AB17CA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noProof/>
          <w:color w:val="000000"/>
          <w:lang w:eastAsia="pt-BR"/>
        </w:rPr>
        <w:drawing>
          <wp:inline distT="0" distB="0" distL="0" distR="0" wp14:anchorId="1BAC92F5" wp14:editId="11D4240A">
            <wp:extent cx="2435551" cy="1629547"/>
            <wp:effectExtent l="0" t="0" r="3175" b="8890"/>
            <wp:docPr id="32" name="Imagem 32" descr="https://azup.com.br/wp-content/uploads/dens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s://azup.com.br/wp-content/uploads/densidad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9" cy="163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7CA">
        <w:rPr>
          <w:rFonts w:ascii="Lato" w:eastAsia="Times New Roman" w:hAnsi="Lato" w:cs="Times New Roman"/>
          <w:noProof/>
          <w:color w:val="000000"/>
          <w:lang w:eastAsia="pt-BR"/>
        </w:rPr>
        <w:drawing>
          <wp:inline distT="0" distB="0" distL="0" distR="0" wp14:anchorId="468E9347" wp14:editId="3150E882">
            <wp:extent cx="2558580" cy="1717705"/>
            <wp:effectExtent l="0" t="0" r="0" b="0"/>
            <wp:docPr id="31" name="Imagem 31" descr="https://azup.com.br/wp-content/uploads/alcool-desconhec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s://azup.com.br/wp-content/uploads/alcool-desconheci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83" cy="172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19D96" w14:textId="3A2C6C97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66B4E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07" type="#_x0000_t75" style="width:20.2pt;height:17.5pt" o:ole="">
            <v:imagedata r:id="rId9" o:title=""/>
          </v:shape>
          <w:control r:id="rId10" w:name="DefaultOcxName" w:shapeid="_x0000_i1607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>a) a nitroglicerina.</w:t>
      </w:r>
    </w:p>
    <w:p w14:paraId="12178113" w14:textId="65B91FEC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44F049CF">
          <v:shape id="_x0000_i1606" type="#_x0000_t75" style="width:20.2pt;height:17.5pt" o:ole="">
            <v:imagedata r:id="rId9" o:title=""/>
          </v:shape>
          <w:control r:id="rId11" w:name="DefaultOcxName1" w:shapeid="_x0000_i1606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 xml:space="preserve">b) o 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hexano</w:t>
      </w:r>
      <w:proofErr w:type="spellEnd"/>
      <w:r w:rsidRPr="00AB17CA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2ABF79DD" w14:textId="5AFBF488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514C59C6">
          <v:shape id="_x0000_i1605" type="#_x0000_t75" style="width:20.2pt;height:17.5pt" o:ole="">
            <v:imagedata r:id="rId9" o:title=""/>
          </v:shape>
          <w:control r:id="rId12" w:name="DefaultOcxName2" w:shapeid="_x0000_i1605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>c) o mercúrio.</w:t>
      </w:r>
    </w:p>
    <w:p w14:paraId="0EB2E376" w14:textId="6032230E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791CD705">
          <v:shape id="_x0000_i1604" type="#_x0000_t75" style="width:20.2pt;height:17.5pt" o:ole="">
            <v:imagedata r:id="rId9" o:title=""/>
          </v:shape>
          <w:control r:id="rId13" w:name="DefaultOcxName3" w:shapeid="_x0000_i1604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>d) a água.</w:t>
      </w:r>
    </w:p>
    <w:p w14:paraId="7FCCE6FA" w14:textId="51E27157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6271CFB4">
          <v:shape id="_x0000_i1603" type="#_x0000_t75" style="width:20.2pt;height:17.5pt" o:ole="">
            <v:imagedata r:id="rId9" o:title=""/>
          </v:shape>
          <w:control r:id="rId14" w:name="DefaultOcxName4" w:shapeid="_x0000_i1603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>e) o benzeno.</w:t>
      </w:r>
    </w:p>
    <w:p w14:paraId="72C5FF1A" w14:textId="77777777" w:rsidR="00AB17CA" w:rsidRPr="00AB17CA" w:rsidRDefault="00AB17CA" w:rsidP="00AB17CA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t>2) (Unifesp) O sistema de vasos comunicantes da figura contém água em repouso e simula uma situação que costuma ocorrer em cavernas: o tubo A representa a abertura para o meio ambiente exterior e os tubos B e C representam ambientes fechados, onde o ar está aprisionado.  </w:t>
      </w:r>
    </w:p>
    <w:p w14:paraId="30D87312" w14:textId="5AB86143" w:rsidR="00AB17CA" w:rsidRPr="00AB17CA" w:rsidRDefault="00AB17CA" w:rsidP="00AB17CA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noProof/>
          <w:color w:val="000000"/>
          <w:lang w:eastAsia="pt-BR"/>
        </w:rPr>
        <w:drawing>
          <wp:inline distT="0" distB="0" distL="0" distR="0" wp14:anchorId="433A1404" wp14:editId="08A5C662">
            <wp:extent cx="1845945" cy="1094105"/>
            <wp:effectExtent l="0" t="0" r="1905" b="0"/>
            <wp:docPr id="30" name="Imagem 30" descr="https://azup.com.br/wp-content/uploads/vaso-tri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s://azup.com.br/wp-content/uploads/vaso-tripl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33F4B" w14:textId="77777777" w:rsidR="00AB17CA" w:rsidRPr="00AB17CA" w:rsidRDefault="00AB17CA" w:rsidP="00AB17CA">
      <w:pPr>
        <w:shd w:val="clear" w:color="auto" w:fill="FFFFFF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t xml:space="preserve"> Sendo 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p</w:t>
      </w:r>
      <w:r w:rsidRPr="00AB17CA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A</w:t>
      </w:r>
      <w:proofErr w:type="spellEnd"/>
      <w:r w:rsidRPr="00AB17CA">
        <w:rPr>
          <w:rFonts w:ascii="Lato" w:eastAsia="Times New Roman" w:hAnsi="Lato" w:cs="Times New Roman"/>
          <w:color w:val="000000"/>
          <w:lang w:eastAsia="pt-BR"/>
        </w:rPr>
        <w:t xml:space="preserve"> a pressão atmosférica ambiente, 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p</w:t>
      </w:r>
      <w:r w:rsidRPr="00AB17CA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B</w:t>
      </w:r>
      <w:proofErr w:type="spellEnd"/>
      <w:r w:rsidRPr="00AB17CA">
        <w:rPr>
          <w:rFonts w:ascii="Lato" w:eastAsia="Times New Roman" w:hAnsi="Lato" w:cs="Times New Roman"/>
          <w:color w:val="000000"/>
          <w:lang w:eastAsia="pt-BR"/>
        </w:rPr>
        <w:t xml:space="preserve"> e 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p</w:t>
      </w:r>
      <w:r w:rsidRPr="00AB17CA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bscript"/>
          <w:lang w:eastAsia="pt-BR"/>
        </w:rPr>
        <w:t>C</w:t>
      </w:r>
      <w:proofErr w:type="spellEnd"/>
      <w:r w:rsidRPr="00AB17CA">
        <w:rPr>
          <w:rFonts w:ascii="Lato" w:eastAsia="Times New Roman" w:hAnsi="Lato" w:cs="Times New Roman"/>
          <w:color w:val="000000"/>
          <w:lang w:eastAsia="pt-BR"/>
        </w:rPr>
        <w:t> as pressões do ar confinado nos ambientes B e C, pode-se afirmar que é válida a relação:</w:t>
      </w:r>
    </w:p>
    <w:p w14:paraId="2F602492" w14:textId="2A27B62E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261EBF50">
          <v:shape id="_x0000_i1602" type="#_x0000_t75" style="width:20.2pt;height:17.5pt" o:ole="">
            <v:imagedata r:id="rId9" o:title=""/>
          </v:shape>
          <w:control r:id="rId16" w:name="DefaultOcxName5" w:shapeid="_x0000_i1602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 xml:space="preserve">a) 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pA</w:t>
      </w:r>
      <w:proofErr w:type="spellEnd"/>
      <w:r w:rsidRPr="00AB17CA">
        <w:rPr>
          <w:rFonts w:ascii="Lato" w:eastAsia="Times New Roman" w:hAnsi="Lato" w:cs="Times New Roman"/>
          <w:color w:val="000000"/>
          <w:lang w:eastAsia="pt-BR"/>
        </w:rPr>
        <w:t xml:space="preserve"> = 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pB</w:t>
      </w:r>
      <w:proofErr w:type="spellEnd"/>
      <w:r w:rsidRPr="00AB17CA">
        <w:rPr>
          <w:rFonts w:ascii="Lato" w:eastAsia="Times New Roman" w:hAnsi="Lato" w:cs="Times New Roman"/>
          <w:color w:val="000000"/>
          <w:lang w:eastAsia="pt-BR"/>
        </w:rPr>
        <w:t xml:space="preserve"> &gt; 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pC</w:t>
      </w:r>
      <w:proofErr w:type="spellEnd"/>
      <w:r w:rsidRPr="00AB17CA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1667C67D" w14:textId="3A8A6D62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49E1C16">
          <v:shape id="_x0000_i1601" type="#_x0000_t75" style="width:20.2pt;height:17.5pt" o:ole="">
            <v:imagedata r:id="rId9" o:title=""/>
          </v:shape>
          <w:control r:id="rId17" w:name="DefaultOcxName6" w:shapeid="_x0000_i1601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 xml:space="preserve">b) 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pA</w:t>
      </w:r>
      <w:proofErr w:type="spellEnd"/>
      <w:r w:rsidRPr="00AB17CA">
        <w:rPr>
          <w:rFonts w:ascii="Lato" w:eastAsia="Times New Roman" w:hAnsi="Lato" w:cs="Times New Roman"/>
          <w:color w:val="000000"/>
          <w:lang w:eastAsia="pt-BR"/>
        </w:rPr>
        <w:t xml:space="preserve"> &gt; 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pB</w:t>
      </w:r>
      <w:proofErr w:type="spellEnd"/>
      <w:r w:rsidRPr="00AB17CA">
        <w:rPr>
          <w:rFonts w:ascii="Lato" w:eastAsia="Times New Roman" w:hAnsi="Lato" w:cs="Times New Roman"/>
          <w:color w:val="000000"/>
          <w:lang w:eastAsia="pt-BR"/>
        </w:rPr>
        <w:t xml:space="preserve"> = 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pC</w:t>
      </w:r>
      <w:proofErr w:type="spellEnd"/>
      <w:r w:rsidRPr="00AB17CA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26366DE6" w14:textId="5DC0B752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40A81810">
          <v:shape id="_x0000_i1600" type="#_x0000_t75" style="width:20.2pt;height:17.5pt" o:ole="">
            <v:imagedata r:id="rId9" o:title=""/>
          </v:shape>
          <w:control r:id="rId18" w:name="DefaultOcxName7" w:shapeid="_x0000_i1600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 xml:space="preserve">c) 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pA</w:t>
      </w:r>
      <w:proofErr w:type="spellEnd"/>
      <w:r w:rsidRPr="00AB17CA">
        <w:rPr>
          <w:rFonts w:ascii="Lato" w:eastAsia="Times New Roman" w:hAnsi="Lato" w:cs="Times New Roman"/>
          <w:color w:val="000000"/>
          <w:lang w:eastAsia="pt-BR"/>
        </w:rPr>
        <w:t xml:space="preserve"> &gt; 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pB</w:t>
      </w:r>
      <w:proofErr w:type="spellEnd"/>
      <w:r w:rsidRPr="00AB17CA">
        <w:rPr>
          <w:rFonts w:ascii="Lato" w:eastAsia="Times New Roman" w:hAnsi="Lato" w:cs="Times New Roman"/>
          <w:color w:val="000000"/>
          <w:lang w:eastAsia="pt-BR"/>
        </w:rPr>
        <w:t xml:space="preserve"> &gt; 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pC</w:t>
      </w:r>
      <w:proofErr w:type="spellEnd"/>
      <w:r w:rsidRPr="00AB17CA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1122C4C8" w14:textId="630DD115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BAFEDC4">
          <v:shape id="_x0000_i1599" type="#_x0000_t75" style="width:20.2pt;height:17.5pt" o:ole="">
            <v:imagedata r:id="rId9" o:title=""/>
          </v:shape>
          <w:control r:id="rId19" w:name="DefaultOcxName8" w:shapeid="_x0000_i1599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 xml:space="preserve">d) 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pB</w:t>
      </w:r>
      <w:proofErr w:type="spellEnd"/>
      <w:r w:rsidRPr="00AB17CA">
        <w:rPr>
          <w:rFonts w:ascii="Lato" w:eastAsia="Times New Roman" w:hAnsi="Lato" w:cs="Times New Roman"/>
          <w:color w:val="000000"/>
          <w:lang w:eastAsia="pt-BR"/>
        </w:rPr>
        <w:t xml:space="preserve"> &gt; 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pA</w:t>
      </w:r>
      <w:proofErr w:type="spellEnd"/>
      <w:r w:rsidRPr="00AB17CA">
        <w:rPr>
          <w:rFonts w:ascii="Lato" w:eastAsia="Times New Roman" w:hAnsi="Lato" w:cs="Times New Roman"/>
          <w:color w:val="000000"/>
          <w:lang w:eastAsia="pt-BR"/>
        </w:rPr>
        <w:t xml:space="preserve"> &gt; 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pC</w:t>
      </w:r>
      <w:proofErr w:type="spellEnd"/>
      <w:r w:rsidRPr="00AB17CA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7DE3F748" w14:textId="7607C88A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77412468">
          <v:shape id="_x0000_i1598" type="#_x0000_t75" style="width:20.2pt;height:17.5pt" o:ole="">
            <v:imagedata r:id="rId9" o:title=""/>
          </v:shape>
          <w:control r:id="rId20" w:name="DefaultOcxName9" w:shapeid="_x0000_i1598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 xml:space="preserve">e) 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pB</w:t>
      </w:r>
      <w:proofErr w:type="spellEnd"/>
      <w:r w:rsidRPr="00AB17CA">
        <w:rPr>
          <w:rFonts w:ascii="Lato" w:eastAsia="Times New Roman" w:hAnsi="Lato" w:cs="Times New Roman"/>
          <w:color w:val="000000"/>
          <w:lang w:eastAsia="pt-BR"/>
        </w:rPr>
        <w:t xml:space="preserve"> &gt; 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pC</w:t>
      </w:r>
      <w:proofErr w:type="spellEnd"/>
      <w:r w:rsidRPr="00AB17CA">
        <w:rPr>
          <w:rFonts w:ascii="Lato" w:eastAsia="Times New Roman" w:hAnsi="Lato" w:cs="Times New Roman"/>
          <w:color w:val="000000"/>
          <w:lang w:eastAsia="pt-BR"/>
        </w:rPr>
        <w:t xml:space="preserve"> &gt; 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pA.</w:t>
      </w:r>
      <w:proofErr w:type="spellEnd"/>
    </w:p>
    <w:p w14:paraId="2D928210" w14:textId="77777777" w:rsidR="00AB17CA" w:rsidRPr="00AB17CA" w:rsidRDefault="00AB17CA" w:rsidP="00AB17CA">
      <w:pPr>
        <w:shd w:val="clear" w:color="auto" w:fill="FFFFFF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t>3) Em um recipiente em formato de U foram colocadas determinadas quantidades de água e óleo. Após haver equilíbrio no sistema, as alturas das colunas de água e óleo a partir de um determinado referencial foram determinadas, sendo 100 mm para o óleo e 70 mm para a água. Sabendo que a densidade da água é 1000 kg/m</w:t>
      </w:r>
      <w:r w:rsidRPr="00AB17CA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perscript"/>
          <w:lang w:eastAsia="pt-BR"/>
        </w:rPr>
        <w:t>3</w:t>
      </w:r>
      <w:r w:rsidRPr="00AB17CA">
        <w:rPr>
          <w:rFonts w:ascii="Lato" w:eastAsia="Times New Roman" w:hAnsi="Lato" w:cs="Times New Roman"/>
          <w:color w:val="000000"/>
          <w:lang w:eastAsia="pt-BR"/>
        </w:rPr>
        <w:t>, determine a densidade do óleo em kg/m</w:t>
      </w:r>
      <w:r w:rsidRPr="00AB17CA">
        <w:rPr>
          <w:rFonts w:ascii="Lato" w:eastAsia="Times New Roman" w:hAnsi="Lato" w:cs="Times New Roman"/>
          <w:color w:val="000000"/>
          <w:sz w:val="18"/>
          <w:szCs w:val="18"/>
          <w:bdr w:val="none" w:sz="0" w:space="0" w:color="auto" w:frame="1"/>
          <w:vertAlign w:val="superscript"/>
          <w:lang w:eastAsia="pt-BR"/>
        </w:rPr>
        <w:t>3</w:t>
      </w:r>
      <w:r w:rsidRPr="00AB17CA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689471DB" w14:textId="48CB0F65" w:rsidR="00AB17CA" w:rsidRPr="00AB17CA" w:rsidRDefault="00AB17CA" w:rsidP="00AB17CA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noProof/>
          <w:color w:val="000000"/>
          <w:lang w:eastAsia="pt-BR"/>
        </w:rPr>
        <w:drawing>
          <wp:inline distT="0" distB="0" distL="0" distR="0" wp14:anchorId="191EB06E" wp14:editId="6FC08C16">
            <wp:extent cx="3615055" cy="2281555"/>
            <wp:effectExtent l="0" t="0" r="4445" b="4445"/>
            <wp:docPr id="29" name="Imagem 29" descr="https://azup.com.br/wp-content/uploads/agua-ol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s://azup.com.br/wp-content/uploads/agua-ole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0DACB" w14:textId="742680DB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49632F2C">
          <v:shape id="_x0000_i1597" type="#_x0000_t75" style="width:20.2pt;height:17.5pt" o:ole="">
            <v:imagedata r:id="rId9" o:title=""/>
          </v:shape>
          <w:control r:id="rId22" w:name="DefaultOcxName10" w:shapeid="_x0000_i1597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>a) 500</w:t>
      </w:r>
    </w:p>
    <w:p w14:paraId="4A36575E" w14:textId="20005C7A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7D158233">
          <v:shape id="_x0000_i1596" type="#_x0000_t75" style="width:20.2pt;height:17.5pt" o:ole="">
            <v:imagedata r:id="rId9" o:title=""/>
          </v:shape>
          <w:control r:id="rId23" w:name="DefaultOcxName11" w:shapeid="_x0000_i1596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>b) 650</w:t>
      </w:r>
    </w:p>
    <w:p w14:paraId="21C27EC7" w14:textId="4629481C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3D30C8DA">
          <v:shape id="_x0000_i1595" type="#_x0000_t75" style="width:20.2pt;height:17.5pt" o:ole="">
            <v:imagedata r:id="rId9" o:title=""/>
          </v:shape>
          <w:control r:id="rId24" w:name="DefaultOcxName12" w:shapeid="_x0000_i1595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>c) 600</w:t>
      </w:r>
    </w:p>
    <w:p w14:paraId="3D8652AA" w14:textId="06D9508E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13962372">
          <v:shape id="_x0000_i1594" type="#_x0000_t75" style="width:20.2pt;height:17.5pt" o:ole="">
            <v:imagedata r:id="rId9" o:title=""/>
          </v:shape>
          <w:control r:id="rId25" w:name="DefaultOcxName13" w:shapeid="_x0000_i1594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>d) 700</w:t>
      </w:r>
    </w:p>
    <w:p w14:paraId="651E0A57" w14:textId="33EBC3AA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01DA9480">
          <v:shape id="_x0000_i1593" type="#_x0000_t75" style="width:20.2pt;height:17.5pt" o:ole="">
            <v:imagedata r:id="rId9" o:title=""/>
          </v:shape>
          <w:control r:id="rId26" w:name="DefaultOcxName14" w:shapeid="_x0000_i1593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>e) 800</w:t>
      </w:r>
    </w:p>
    <w:p w14:paraId="4C7F897D" w14:textId="77777777" w:rsidR="00AB17CA" w:rsidRPr="00AB17CA" w:rsidRDefault="00AB17CA" w:rsidP="00AB17CA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t>4) As seguintes afirmações são feitas a respeito de dois líquidos de densidades diferentes colocados juntos em um tubo em formato de U.</w:t>
      </w:r>
    </w:p>
    <w:p w14:paraId="53CA711A" w14:textId="77777777" w:rsidR="00AB17CA" w:rsidRPr="00AB17CA" w:rsidRDefault="00AB17CA" w:rsidP="00AB17CA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t xml:space="preserve">I) A determinação da densidade ou altura das colunas de líquido é feita a partir da lei de 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Stevin</w:t>
      </w:r>
      <w:proofErr w:type="spellEnd"/>
      <w:r w:rsidRPr="00AB17CA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1861D37B" w14:textId="77777777" w:rsidR="00AB17CA" w:rsidRPr="00AB17CA" w:rsidRDefault="00AB17CA" w:rsidP="00AB17CA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t>II) A pressão atmosférica só fará diferença se pelo menos uma das extremidades do recipiente estiver fechada.</w:t>
      </w:r>
    </w:p>
    <w:p w14:paraId="7BFAD1C6" w14:textId="77777777" w:rsidR="00AB17CA" w:rsidRPr="00AB17CA" w:rsidRDefault="00AB17CA" w:rsidP="00AB17CA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t>III) A menor coluna de líquido sempre será daquele que possui menor densidade.</w:t>
      </w:r>
    </w:p>
    <w:p w14:paraId="604E8CB1" w14:textId="77777777" w:rsidR="00AB17CA" w:rsidRPr="00AB17CA" w:rsidRDefault="00AB17CA" w:rsidP="00AB17CA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t>IV) A pressão para pontos de mesma altura será a mesma.</w:t>
      </w:r>
    </w:p>
    <w:p w14:paraId="40785491" w14:textId="77777777" w:rsidR="00AB17CA" w:rsidRPr="00AB17CA" w:rsidRDefault="00AB17CA" w:rsidP="00AB17CA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t> </w:t>
      </w:r>
    </w:p>
    <w:p w14:paraId="63511897" w14:textId="77777777" w:rsidR="00AB17CA" w:rsidRPr="00AB17CA" w:rsidRDefault="00AB17CA" w:rsidP="00AB17CA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t>Marque a alternativa correta.</w:t>
      </w:r>
    </w:p>
    <w:p w14:paraId="3929317F" w14:textId="38196916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397F9BF0">
          <v:shape id="_x0000_i1592" type="#_x0000_t75" style="width:20.2pt;height:17.5pt" o:ole="">
            <v:imagedata r:id="rId9" o:title=""/>
          </v:shape>
          <w:control r:id="rId27" w:name="DefaultOcxName15" w:shapeid="_x0000_i1592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>a) As afirmações I, III e IV são verdadeiras.</w:t>
      </w:r>
    </w:p>
    <w:p w14:paraId="7C5CAA67" w14:textId="228514C9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6F8E0AD2">
          <v:shape id="_x0000_i1591" type="#_x0000_t75" style="width:20.2pt;height:17.5pt" o:ole="">
            <v:imagedata r:id="rId9" o:title=""/>
          </v:shape>
          <w:control r:id="rId28" w:name="DefaultOcxName16" w:shapeid="_x0000_i1591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>b) As afirmações II e III são falsas.</w:t>
      </w:r>
    </w:p>
    <w:p w14:paraId="0A022662" w14:textId="37EF71D5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374219D1">
          <v:shape id="_x0000_i1590" type="#_x0000_t75" style="width:20.2pt;height:17.5pt" o:ole="">
            <v:imagedata r:id="rId9" o:title=""/>
          </v:shape>
          <w:control r:id="rId29" w:name="DefaultOcxName17" w:shapeid="_x0000_i1590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>c) Todas as afirmações são verdadeiras.</w:t>
      </w:r>
    </w:p>
    <w:p w14:paraId="0F8745E9" w14:textId="2B9E56BE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7DE546C1">
          <v:shape id="_x0000_i1589" type="#_x0000_t75" style="width:20.2pt;height:17.5pt" o:ole="">
            <v:imagedata r:id="rId9" o:title=""/>
          </v:shape>
          <w:control r:id="rId30" w:name="DefaultOcxName18" w:shapeid="_x0000_i1589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>d) Somente I é verdadeira.</w:t>
      </w:r>
    </w:p>
    <w:p w14:paraId="5391B9FC" w14:textId="179AD63D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5FD86687">
          <v:shape id="_x0000_i1588" type="#_x0000_t75" style="width:20.2pt;height:17.5pt" o:ole="">
            <v:imagedata r:id="rId9" o:title=""/>
          </v:shape>
          <w:control r:id="rId31" w:name="DefaultOcxName19" w:shapeid="_x0000_i1588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>e) As afirmações I, II e IV são verdadeiras.</w:t>
      </w:r>
    </w:p>
    <w:p w14:paraId="1898D72F" w14:textId="77777777" w:rsidR="00AB17CA" w:rsidRPr="00AB17CA" w:rsidRDefault="00AB17CA" w:rsidP="00AB17CA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t>5) (UERJ-RJ) Algumas cafeteiras industriais possuem um tubo de vidro transparente para facilitar a verificação da quantidade de café no reservatório, como mostra a figura. Observe que os pontos A e B correspondem a aberturas na máquina.</w:t>
      </w:r>
    </w:p>
    <w:p w14:paraId="3A83E95C" w14:textId="2E0671FD" w:rsidR="00AB17CA" w:rsidRPr="00AB17CA" w:rsidRDefault="00AB17CA" w:rsidP="00AB17CA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noProof/>
          <w:color w:val="000000"/>
          <w:lang w:eastAsia="pt-BR"/>
        </w:rPr>
        <w:drawing>
          <wp:inline distT="0" distB="0" distL="0" distR="0" wp14:anchorId="0BE2322C" wp14:editId="18E89770">
            <wp:extent cx="1598295" cy="1205230"/>
            <wp:effectExtent l="0" t="0" r="1905" b="0"/>
            <wp:docPr id="28" name="Imagem 28" descr="https://azup.com.br/wp-content/uploads/i_c9e708afa9eb4b21_html_4e3154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s://azup.com.br/wp-content/uploads/i_c9e708afa9eb4b21_html_4e31542c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C4C9B" w14:textId="77777777" w:rsidR="00AB17CA" w:rsidRPr="00AB17CA" w:rsidRDefault="00AB17CA" w:rsidP="00AB17CA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t xml:space="preserve">(Adaptado de MÁXIMO, Antônio &amp; ALVARENGA, Beatriz. Curso de Física. São Paulo: </w:t>
      </w:r>
      <w:proofErr w:type="spellStart"/>
      <w:r w:rsidRPr="00AB17CA">
        <w:rPr>
          <w:rFonts w:ascii="Lato" w:eastAsia="Times New Roman" w:hAnsi="Lato" w:cs="Times New Roman"/>
          <w:color w:val="000000"/>
          <w:lang w:eastAsia="pt-BR"/>
        </w:rPr>
        <w:t>Harbra</w:t>
      </w:r>
      <w:proofErr w:type="spellEnd"/>
      <w:r w:rsidRPr="00AB17CA">
        <w:rPr>
          <w:rFonts w:ascii="Lato" w:eastAsia="Times New Roman" w:hAnsi="Lato" w:cs="Times New Roman"/>
          <w:color w:val="000000"/>
          <w:lang w:eastAsia="pt-BR"/>
        </w:rPr>
        <w:t>, 1992.)</w:t>
      </w:r>
    </w:p>
    <w:p w14:paraId="1433BC84" w14:textId="77777777" w:rsidR="00AB17CA" w:rsidRPr="00AB17CA" w:rsidRDefault="00AB17CA" w:rsidP="00AB17CA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t>Admita que a área da seção reta horizontal do reservatório seja 20 vezes maior do que a do tubo de vidro.</w:t>
      </w:r>
    </w:p>
    <w:p w14:paraId="1FD3BE24" w14:textId="77777777" w:rsidR="00AB17CA" w:rsidRPr="00AB17CA" w:rsidRDefault="00AB17CA" w:rsidP="00AB17CA">
      <w:pPr>
        <w:shd w:val="clear" w:color="auto" w:fill="FFFFFF"/>
        <w:spacing w:after="36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t>Quando a altura alcançada pelo café no tubo é x, a altura do café no interior do reservatório corresponde a:</w:t>
      </w:r>
    </w:p>
    <w:p w14:paraId="193228AC" w14:textId="72AAAD61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7FAB6F63">
          <v:shape id="_x0000_i1587" type="#_x0000_t75" style="width:20.2pt;height:17.5pt" o:ole="">
            <v:imagedata r:id="rId9" o:title=""/>
          </v:shape>
          <w:control r:id="rId33" w:name="DefaultOcxName20" w:shapeid="_x0000_i1587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>a) x</w:t>
      </w:r>
    </w:p>
    <w:p w14:paraId="344F0DCD" w14:textId="61B705A5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6EDD2C03">
          <v:shape id="_x0000_i1586" type="#_x0000_t75" style="width:20.2pt;height:17.5pt" o:ole="">
            <v:imagedata r:id="rId9" o:title=""/>
          </v:shape>
          <w:control r:id="rId34" w:name="DefaultOcxName21" w:shapeid="_x0000_i1586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>b) x/2</w:t>
      </w:r>
    </w:p>
    <w:p w14:paraId="57D1379B" w14:textId="51D7C5AA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35EE6374">
          <v:shape id="_x0000_i1585" type="#_x0000_t75" style="width:20.2pt;height:17.5pt" o:ole="">
            <v:imagedata r:id="rId9" o:title=""/>
          </v:shape>
          <w:control r:id="rId35" w:name="DefaultOcxName22" w:shapeid="_x0000_i1585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>c) x/10</w:t>
      </w:r>
    </w:p>
    <w:p w14:paraId="104F0FC0" w14:textId="3B0523FA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156A366E">
          <v:shape id="_x0000_i1584" type="#_x0000_t75" style="width:20.2pt;height:17.5pt" o:ole="">
            <v:imagedata r:id="rId9" o:title=""/>
          </v:shape>
          <w:control r:id="rId36" w:name="DefaultOcxName23" w:shapeid="_x0000_i1584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>d) x/20</w:t>
      </w:r>
    </w:p>
    <w:p w14:paraId="441BF571" w14:textId="2E1803FB" w:rsidR="00AB17CA" w:rsidRPr="00AB17CA" w:rsidRDefault="00AB17CA" w:rsidP="00AB17CA">
      <w:pPr>
        <w:numPr>
          <w:ilvl w:val="1"/>
          <w:numId w:val="15"/>
        </w:numPr>
        <w:spacing w:after="120"/>
        <w:ind w:left="0"/>
        <w:textAlignment w:val="baseline"/>
        <w:rPr>
          <w:rFonts w:ascii="Lato" w:eastAsia="Times New Roman" w:hAnsi="Lato" w:cs="Times New Roman"/>
          <w:color w:val="000000"/>
          <w:lang w:eastAsia="pt-BR"/>
        </w:rPr>
      </w:pPr>
      <w:r w:rsidRPr="00AB17CA">
        <w:rPr>
          <w:rFonts w:ascii="Lato" w:eastAsia="Times New Roman" w:hAnsi="Lato" w:cs="Times New Roman"/>
          <w:color w:val="000000"/>
          <w:lang w:eastAsia="pt-BR"/>
        </w:rPr>
        <w:object w:dxaOrig="225" w:dyaOrig="225" w14:anchorId="26B6D2E9">
          <v:shape id="_x0000_i1583" type="#_x0000_t75" style="width:20.2pt;height:17.5pt" o:ole="">
            <v:imagedata r:id="rId9" o:title=""/>
          </v:shape>
          <w:control r:id="rId37" w:name="DefaultOcxName24" w:shapeid="_x0000_i1583"/>
        </w:object>
      </w:r>
      <w:r w:rsidRPr="00AB17CA">
        <w:rPr>
          <w:rFonts w:ascii="Lato" w:eastAsia="Times New Roman" w:hAnsi="Lato" w:cs="Times New Roman"/>
          <w:color w:val="000000"/>
          <w:lang w:eastAsia="pt-BR"/>
        </w:rPr>
        <w:t>e) x/25</w:t>
      </w:r>
    </w:p>
    <w:p w14:paraId="46A0A33B" w14:textId="2C6A5CCA" w:rsidR="00FE1708" w:rsidRPr="00CD482E" w:rsidRDefault="00FE1708" w:rsidP="005C0F01">
      <w:r w:rsidRPr="00CD482E">
        <w:br w:type="page"/>
      </w:r>
    </w:p>
    <w:p w14:paraId="26B5395D" w14:textId="45A42EB5" w:rsidR="00B9732E" w:rsidRPr="00CE1840" w:rsidRDefault="00B9732E" w:rsidP="00231891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EB4EE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49F3381F" w:rsidR="00EB4EEE" w:rsidRPr="00CE1840" w:rsidRDefault="00AB17CA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8" w:type="dxa"/>
          </w:tcPr>
          <w:p w14:paraId="6C379D11" w14:textId="12BCD3E2" w:rsidR="00EB4EEE" w:rsidRPr="00CE1840" w:rsidRDefault="00AB17CA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2C919288" w14:textId="711937AD" w:rsidR="00EB4EEE" w:rsidRPr="00CE1840" w:rsidRDefault="00AB17CA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</w:tcPr>
          <w:p w14:paraId="67AF40E6" w14:textId="6F79D8FD" w:rsidR="00EB4EEE" w:rsidRPr="00CE1840" w:rsidRDefault="00AB17CA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698" w:type="dxa"/>
          </w:tcPr>
          <w:p w14:paraId="49599B0F" w14:textId="3086468A" w:rsidR="00EB4EEE" w:rsidRPr="00CE1840" w:rsidRDefault="00AB17CA" w:rsidP="00EB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77777777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3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912A3" w14:textId="77777777" w:rsidR="001E30E8" w:rsidRDefault="001E30E8" w:rsidP="00EB593E">
      <w:r>
        <w:separator/>
      </w:r>
    </w:p>
  </w:endnote>
  <w:endnote w:type="continuationSeparator" w:id="0">
    <w:p w14:paraId="22BB4C11" w14:textId="77777777" w:rsidR="001E30E8" w:rsidRDefault="001E30E8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1E30E8" w:rsidRDefault="001E30E8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2BF90" w14:textId="77777777" w:rsidR="001E30E8" w:rsidRDefault="001E30E8" w:rsidP="00EB593E">
      <w:r>
        <w:separator/>
      </w:r>
    </w:p>
  </w:footnote>
  <w:footnote w:type="continuationSeparator" w:id="0">
    <w:p w14:paraId="526BF753" w14:textId="77777777" w:rsidR="001E30E8" w:rsidRDefault="001E30E8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ED6"/>
    <w:multiLevelType w:val="multilevel"/>
    <w:tmpl w:val="95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51567"/>
    <w:multiLevelType w:val="multilevel"/>
    <w:tmpl w:val="850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71506"/>
    <w:multiLevelType w:val="multilevel"/>
    <w:tmpl w:val="9D0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71DBA"/>
    <w:multiLevelType w:val="multilevel"/>
    <w:tmpl w:val="39B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351A9"/>
    <w:rsid w:val="000377F8"/>
    <w:rsid w:val="00050167"/>
    <w:rsid w:val="000541F8"/>
    <w:rsid w:val="00060123"/>
    <w:rsid w:val="000622C0"/>
    <w:rsid w:val="00080A51"/>
    <w:rsid w:val="000854F5"/>
    <w:rsid w:val="000A29B5"/>
    <w:rsid w:val="000B4817"/>
    <w:rsid w:val="000C4036"/>
    <w:rsid w:val="000D3C4F"/>
    <w:rsid w:val="000E65DC"/>
    <w:rsid w:val="000E7A4B"/>
    <w:rsid w:val="00117D28"/>
    <w:rsid w:val="00135B5A"/>
    <w:rsid w:val="0014328B"/>
    <w:rsid w:val="00151911"/>
    <w:rsid w:val="00160F80"/>
    <w:rsid w:val="001E30E8"/>
    <w:rsid w:val="001E6273"/>
    <w:rsid w:val="001F03AD"/>
    <w:rsid w:val="001F0741"/>
    <w:rsid w:val="001F67C1"/>
    <w:rsid w:val="00207B5D"/>
    <w:rsid w:val="00213989"/>
    <w:rsid w:val="00231891"/>
    <w:rsid w:val="002408DE"/>
    <w:rsid w:val="00253B2B"/>
    <w:rsid w:val="00261CD3"/>
    <w:rsid w:val="00267CD7"/>
    <w:rsid w:val="002740D8"/>
    <w:rsid w:val="00282777"/>
    <w:rsid w:val="00296F6A"/>
    <w:rsid w:val="002C2C00"/>
    <w:rsid w:val="002F29C6"/>
    <w:rsid w:val="00310140"/>
    <w:rsid w:val="00311C81"/>
    <w:rsid w:val="003232A0"/>
    <w:rsid w:val="003356C8"/>
    <w:rsid w:val="00343CD9"/>
    <w:rsid w:val="00363A2D"/>
    <w:rsid w:val="0038787E"/>
    <w:rsid w:val="003A070A"/>
    <w:rsid w:val="003C6B91"/>
    <w:rsid w:val="003D0ED3"/>
    <w:rsid w:val="004437E1"/>
    <w:rsid w:val="00490915"/>
    <w:rsid w:val="00492379"/>
    <w:rsid w:val="004B182E"/>
    <w:rsid w:val="004D04DA"/>
    <w:rsid w:val="00515641"/>
    <w:rsid w:val="00532117"/>
    <w:rsid w:val="005357ED"/>
    <w:rsid w:val="00577308"/>
    <w:rsid w:val="0059394D"/>
    <w:rsid w:val="005C0F01"/>
    <w:rsid w:val="005C2BA3"/>
    <w:rsid w:val="005C79BB"/>
    <w:rsid w:val="005F6D9B"/>
    <w:rsid w:val="005F6FB3"/>
    <w:rsid w:val="005F7336"/>
    <w:rsid w:val="006009E5"/>
    <w:rsid w:val="00620E7D"/>
    <w:rsid w:val="00650AC9"/>
    <w:rsid w:val="006D75F0"/>
    <w:rsid w:val="00707B28"/>
    <w:rsid w:val="00734A83"/>
    <w:rsid w:val="00737878"/>
    <w:rsid w:val="00745A2E"/>
    <w:rsid w:val="00767869"/>
    <w:rsid w:val="007864A8"/>
    <w:rsid w:val="007B66BA"/>
    <w:rsid w:val="007C37B2"/>
    <w:rsid w:val="007D7C7A"/>
    <w:rsid w:val="007F009A"/>
    <w:rsid w:val="00802C7B"/>
    <w:rsid w:val="00816BB2"/>
    <w:rsid w:val="008669C9"/>
    <w:rsid w:val="008B71E7"/>
    <w:rsid w:val="008D33E5"/>
    <w:rsid w:val="008F11A7"/>
    <w:rsid w:val="00962A46"/>
    <w:rsid w:val="00963840"/>
    <w:rsid w:val="00983981"/>
    <w:rsid w:val="00985C31"/>
    <w:rsid w:val="00993FDB"/>
    <w:rsid w:val="009A13F3"/>
    <w:rsid w:val="009A1C75"/>
    <w:rsid w:val="009A30BF"/>
    <w:rsid w:val="009B0528"/>
    <w:rsid w:val="009E02AA"/>
    <w:rsid w:val="009E1093"/>
    <w:rsid w:val="009E5E35"/>
    <w:rsid w:val="00A02A69"/>
    <w:rsid w:val="00A353CA"/>
    <w:rsid w:val="00A8068A"/>
    <w:rsid w:val="00AA3266"/>
    <w:rsid w:val="00AB17CA"/>
    <w:rsid w:val="00AC17B8"/>
    <w:rsid w:val="00AF1877"/>
    <w:rsid w:val="00AF48D2"/>
    <w:rsid w:val="00B0315D"/>
    <w:rsid w:val="00B0519A"/>
    <w:rsid w:val="00B14205"/>
    <w:rsid w:val="00B40012"/>
    <w:rsid w:val="00B42156"/>
    <w:rsid w:val="00B5569A"/>
    <w:rsid w:val="00B61BA9"/>
    <w:rsid w:val="00B64319"/>
    <w:rsid w:val="00B673BC"/>
    <w:rsid w:val="00B91B2E"/>
    <w:rsid w:val="00B9732E"/>
    <w:rsid w:val="00BB7443"/>
    <w:rsid w:val="00BE2827"/>
    <w:rsid w:val="00C42D30"/>
    <w:rsid w:val="00C51ADD"/>
    <w:rsid w:val="00CA00C5"/>
    <w:rsid w:val="00CA52B3"/>
    <w:rsid w:val="00CC6A1B"/>
    <w:rsid w:val="00CD482E"/>
    <w:rsid w:val="00CE0E07"/>
    <w:rsid w:val="00CF4DA3"/>
    <w:rsid w:val="00D203CE"/>
    <w:rsid w:val="00D43DDD"/>
    <w:rsid w:val="00D46FD0"/>
    <w:rsid w:val="00D55DB1"/>
    <w:rsid w:val="00D6748E"/>
    <w:rsid w:val="00D80380"/>
    <w:rsid w:val="00DB516A"/>
    <w:rsid w:val="00DC0E94"/>
    <w:rsid w:val="00DC2806"/>
    <w:rsid w:val="00E00B7E"/>
    <w:rsid w:val="00E11966"/>
    <w:rsid w:val="00E12865"/>
    <w:rsid w:val="00E3251B"/>
    <w:rsid w:val="00E340FF"/>
    <w:rsid w:val="00E52AEF"/>
    <w:rsid w:val="00E65D92"/>
    <w:rsid w:val="00E91D20"/>
    <w:rsid w:val="00EB4EEE"/>
    <w:rsid w:val="00EB593E"/>
    <w:rsid w:val="00EB5DCD"/>
    <w:rsid w:val="00EB77ED"/>
    <w:rsid w:val="00F06518"/>
    <w:rsid w:val="00F17CCC"/>
    <w:rsid w:val="00F20FA8"/>
    <w:rsid w:val="00F40D9C"/>
    <w:rsid w:val="00F509FF"/>
    <w:rsid w:val="00F727E4"/>
    <w:rsid w:val="00FA6A3B"/>
    <w:rsid w:val="00FB3C30"/>
    <w:rsid w:val="00FE05C4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character" w:styleId="nfase">
    <w:name w:val="Emphasis"/>
    <w:basedOn w:val="Fontepargpadr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Fontepargpadro"/>
    <w:rsid w:val="0016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4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control" Target="activeX/activeX22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image" Target="media/image6.jpeg"/><Relationship Id="rId37" Type="http://schemas.openxmlformats.org/officeDocument/2006/relationships/control" Target="activeX/activeX2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2020-04-07T22:04:00Z</cp:lastPrinted>
  <dcterms:created xsi:type="dcterms:W3CDTF">2020-04-07T22:07:00Z</dcterms:created>
  <dcterms:modified xsi:type="dcterms:W3CDTF">2020-04-07T22:07:00Z</dcterms:modified>
</cp:coreProperties>
</file>